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66D" w:rsidRPr="000E466D" w:rsidRDefault="000E466D" w:rsidP="000E466D">
      <w:pPr>
        <w:bidi/>
        <w:rPr>
          <w:rFonts w:cs="David"/>
          <w:rtl/>
        </w:rPr>
      </w:pPr>
    </w:p>
    <w:tbl>
      <w:tblPr>
        <w:tblStyle w:val="a4"/>
        <w:tblpPr w:leftFromText="180" w:rightFromText="180" w:vertAnchor="page" w:horzAnchor="margin" w:tblpY="1835"/>
        <w:bidiVisual/>
        <w:tblW w:w="9781" w:type="dxa"/>
        <w:tblInd w:w="569" w:type="dxa"/>
        <w:tblLook w:val="04A0" w:firstRow="1" w:lastRow="0" w:firstColumn="1" w:lastColumn="0" w:noHBand="0" w:noVBand="1"/>
      </w:tblPr>
      <w:tblGrid>
        <w:gridCol w:w="765"/>
        <w:gridCol w:w="1550"/>
        <w:gridCol w:w="3663"/>
        <w:gridCol w:w="3803"/>
      </w:tblGrid>
      <w:tr w:rsidR="000E466D" w:rsidRPr="000E466D" w:rsidTr="000E466D">
        <w:trPr>
          <w:trHeight w:val="274"/>
        </w:trPr>
        <w:tc>
          <w:tcPr>
            <w:tcW w:w="715" w:type="dxa"/>
            <w:shd w:val="clear" w:color="auto" w:fill="D9D9D9" w:themeFill="background1" w:themeFillShade="D9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>סידורי</w:t>
            </w:r>
          </w:p>
        </w:tc>
        <w:tc>
          <w:tcPr>
            <w:tcW w:w="1553" w:type="dxa"/>
            <w:shd w:val="clear" w:color="auto" w:fill="D9D9D9" w:themeFill="background1" w:themeFillShade="D9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>הסעיף במכרז</w:t>
            </w:r>
          </w:p>
        </w:tc>
        <w:tc>
          <w:tcPr>
            <w:tcW w:w="3686" w:type="dxa"/>
            <w:shd w:val="clear" w:color="auto" w:fill="D9D9D9" w:themeFill="background1" w:themeFillShade="D9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>השאלה</w:t>
            </w:r>
          </w:p>
        </w:tc>
        <w:tc>
          <w:tcPr>
            <w:tcW w:w="3827" w:type="dxa"/>
            <w:shd w:val="clear" w:color="auto" w:fill="D9D9D9" w:themeFill="background1" w:themeFillShade="D9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תשובת עורך המכרז </w:t>
            </w:r>
          </w:p>
        </w:tc>
      </w:tr>
      <w:tr w:rsidR="000E466D" w:rsidRPr="000E466D" w:rsidTr="000E466D">
        <w:trPr>
          <w:trHeight w:val="993"/>
        </w:trPr>
        <w:tc>
          <w:tcPr>
            <w:tcW w:w="715" w:type="dxa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 w:rsidRPr="000E466D">
              <w:rPr>
                <w:rFonts w:cs="David" w:hint="cs"/>
                <w:sz w:val="22"/>
                <w:szCs w:val="22"/>
                <w:rtl/>
              </w:rPr>
              <w:t>3.2</w:t>
            </w:r>
          </w:p>
        </w:tc>
        <w:tc>
          <w:tcPr>
            <w:tcW w:w="1553" w:type="dxa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 w:rsidRPr="000E466D">
              <w:rPr>
                <w:rFonts w:cs="David" w:hint="cs"/>
                <w:sz w:val="22"/>
                <w:szCs w:val="22"/>
                <w:rtl/>
              </w:rPr>
              <w:t>מעמדו המשפטי של המציע</w:t>
            </w:r>
          </w:p>
        </w:tc>
        <w:tc>
          <w:tcPr>
            <w:tcW w:w="3686" w:type="dxa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 w:rsidRPr="000E466D">
              <w:rPr>
                <w:rFonts w:cs="David" w:hint="cs"/>
                <w:sz w:val="22"/>
                <w:szCs w:val="22"/>
                <w:rtl/>
              </w:rPr>
              <w:t xml:space="preserve">האם שותפות עורכי דין, שהינה שותפות לא רשומה, ועוסק מורשה, רשאית להיות בין המציעים? </w:t>
            </w:r>
          </w:p>
        </w:tc>
        <w:tc>
          <w:tcPr>
            <w:tcW w:w="3827" w:type="dxa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התשובה חיובית   </w:t>
            </w:r>
          </w:p>
        </w:tc>
      </w:tr>
      <w:tr w:rsidR="000E466D" w:rsidRPr="000E466D" w:rsidTr="000E466D">
        <w:trPr>
          <w:trHeight w:val="280"/>
        </w:trPr>
        <w:tc>
          <w:tcPr>
            <w:tcW w:w="715" w:type="dxa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 w:rsidRPr="000E466D">
              <w:rPr>
                <w:rFonts w:cs="David" w:hint="cs"/>
                <w:sz w:val="22"/>
                <w:szCs w:val="22"/>
                <w:rtl/>
              </w:rPr>
              <w:t>3.3</w:t>
            </w:r>
          </w:p>
        </w:tc>
        <w:tc>
          <w:tcPr>
            <w:tcW w:w="1553" w:type="dxa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 w:rsidRPr="000E466D">
              <w:rPr>
                <w:rFonts w:cs="David" w:hint="cs"/>
                <w:sz w:val="22"/>
                <w:szCs w:val="22"/>
                <w:rtl/>
              </w:rPr>
              <w:t>נותן השירותים</w:t>
            </w:r>
          </w:p>
        </w:tc>
        <w:tc>
          <w:tcPr>
            <w:tcW w:w="3686" w:type="dxa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sz w:val="22"/>
                <w:szCs w:val="22"/>
                <w:rtl/>
              </w:rPr>
            </w:pPr>
            <w:r w:rsidRPr="000E466D">
              <w:rPr>
                <w:rFonts w:cs="David" w:hint="cs"/>
                <w:sz w:val="22"/>
                <w:szCs w:val="22"/>
                <w:rtl/>
              </w:rPr>
              <w:t>האם נותן השירותים חייב להיות אדם אחד, או שניתן להציע מספר נותני שירות מטעמו של המציע?</w:t>
            </w:r>
          </w:p>
        </w:tc>
        <w:tc>
          <w:tcPr>
            <w:tcW w:w="3827" w:type="dxa"/>
          </w:tcPr>
          <w:p w:rsidR="000E466D" w:rsidRPr="000E466D" w:rsidRDefault="000E466D" w:rsidP="000E466D">
            <w:pPr>
              <w:bidi/>
              <w:spacing w:before="240" w:after="240"/>
              <w:jc w:val="both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>על הגוף המציע לציין את שמו/שמה של נותן/</w:t>
            </w:r>
            <w:proofErr w:type="spellStart"/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>נת</w:t>
            </w:r>
            <w:proofErr w:type="spellEnd"/>
            <w:r w:rsidRPr="000E466D">
              <w:rPr>
                <w:rFonts w:cs="David" w:hint="cs"/>
                <w:b/>
                <w:bCs/>
                <w:sz w:val="22"/>
                <w:szCs w:val="22"/>
                <w:rtl/>
              </w:rPr>
              <w:t xml:space="preserve">  שירותים אחד בלבד. </w:t>
            </w:r>
          </w:p>
        </w:tc>
      </w:tr>
      <w:tr w:rsidR="000E466D" w:rsidRPr="000E466D" w:rsidTr="000E466D">
        <w:trPr>
          <w:trHeight w:val="280"/>
        </w:trPr>
        <w:tc>
          <w:tcPr>
            <w:tcW w:w="715" w:type="dxa"/>
          </w:tcPr>
          <w:p w:rsidR="000E466D" w:rsidRPr="000E466D" w:rsidRDefault="000E466D">
            <w:pPr>
              <w:pStyle w:val="1"/>
              <w:tabs>
                <w:tab w:val="clear" w:pos="360"/>
                <w:tab w:val="left" w:pos="720"/>
              </w:tabs>
              <w:spacing w:line="360" w:lineRule="auto"/>
              <w:ind w:right="0"/>
              <w:rPr>
                <w:rFonts w:eastAsia="Times New Roman"/>
              </w:rPr>
            </w:pPr>
            <w:r w:rsidRPr="000E466D">
              <w:rPr>
                <w:rFonts w:eastAsia="Times New Roman" w:cs="David" w:hint="cs"/>
                <w:rtl/>
              </w:rPr>
              <w:t>1.</w:t>
            </w:r>
          </w:p>
        </w:tc>
        <w:tc>
          <w:tcPr>
            <w:tcW w:w="1553" w:type="dxa"/>
          </w:tcPr>
          <w:p w:rsidR="000E466D" w:rsidRPr="000E466D" w:rsidRDefault="000E466D">
            <w:pPr>
              <w:pStyle w:val="1"/>
              <w:tabs>
                <w:tab w:val="clear" w:pos="360"/>
                <w:tab w:val="left" w:pos="720"/>
              </w:tabs>
              <w:spacing w:line="360" w:lineRule="auto"/>
              <w:ind w:right="0"/>
              <w:rPr>
                <w:rFonts w:eastAsia="Times New Roman"/>
              </w:rPr>
            </w:pPr>
            <w:r w:rsidRPr="000E466D">
              <w:rPr>
                <w:rFonts w:eastAsia="Times New Roman" w:cs="David" w:hint="cs"/>
                <w:rtl/>
              </w:rPr>
              <w:t>3.3(3) "ניסיון"</w:t>
            </w:r>
          </w:p>
        </w:tc>
        <w:tc>
          <w:tcPr>
            <w:tcW w:w="3686" w:type="dxa"/>
          </w:tcPr>
          <w:p w:rsidR="000E466D" w:rsidRPr="000E466D" w:rsidRDefault="000E466D">
            <w:pPr>
              <w:pStyle w:val="1"/>
              <w:tabs>
                <w:tab w:val="clear" w:pos="360"/>
                <w:tab w:val="left" w:pos="720"/>
              </w:tabs>
              <w:spacing w:line="360" w:lineRule="auto"/>
              <w:ind w:right="0"/>
              <w:rPr>
                <w:rFonts w:eastAsia="Times New Roman"/>
              </w:rPr>
            </w:pPr>
            <w:r w:rsidRPr="000E466D">
              <w:rPr>
                <w:rFonts w:eastAsia="Times New Roman" w:cs="David" w:hint="cs"/>
                <w:rtl/>
              </w:rPr>
              <w:t xml:space="preserve">מאחר שבחוק חובת מכרזים תשנ"ב – 1992 ובתקנות חובת מכרזים תשנ"ג – 1993 הגדרת "גוף ציבורי" אינה כוללת עיריות ורשויות מקומיות אחרות (אם כי קיימים חיקוקים </w:t>
            </w:r>
            <w:r w:rsidRPr="000E466D">
              <w:rPr>
                <w:rFonts w:eastAsia="Times New Roman" w:cs="David" w:hint="cs"/>
                <w:b/>
                <w:bCs/>
                <w:rtl/>
              </w:rPr>
              <w:t>אחרים</w:t>
            </w:r>
            <w:r w:rsidRPr="000E466D">
              <w:rPr>
                <w:rFonts w:eastAsia="Times New Roman" w:cs="David" w:hint="cs"/>
                <w:rtl/>
              </w:rPr>
              <w:t xml:space="preserve"> הקובעים חובת מכרז לגביהן), אבקש כי יובהר ש"גוף ציבורי" כולל גם "רשות מקומית" כהגדרתה בפקודת הפרשנות תשמ"א – 1981. באופן כללי, ולמען הסדר הטוב, מוצע כי יצוין במפורש מהו "גוף ציבורי" לעניין סעיף הניסיון. </w:t>
            </w:r>
          </w:p>
        </w:tc>
        <w:tc>
          <w:tcPr>
            <w:tcW w:w="3827" w:type="dxa"/>
          </w:tcPr>
          <w:p w:rsidR="000E466D" w:rsidRPr="000E466D" w:rsidRDefault="000E466D">
            <w:pPr>
              <w:pStyle w:val="1"/>
              <w:tabs>
                <w:tab w:val="clear" w:pos="360"/>
                <w:tab w:val="left" w:pos="720"/>
              </w:tabs>
              <w:spacing w:line="360" w:lineRule="auto"/>
              <w:ind w:right="0"/>
              <w:rPr>
                <w:rFonts w:eastAsia="Times New Roman"/>
              </w:rPr>
            </w:pPr>
            <w:r w:rsidRPr="000E466D">
              <w:rPr>
                <w:rFonts w:eastAsia="Times New Roman" w:cs="David" w:hint="cs"/>
                <w:b/>
                <w:bCs/>
                <w:rtl/>
              </w:rPr>
              <w:t xml:space="preserve">הדרישה מתקבלת (באופן חלקי). </w:t>
            </w:r>
            <w:r w:rsidRPr="000E466D">
              <w:rPr>
                <w:rFonts w:eastAsia="Times New Roman" w:cs="David" w:hint="cs"/>
                <w:rtl/>
              </w:rPr>
              <w:t xml:space="preserve">לעניין דרישת הניסיון במכרז ל"גוף  ציבורי" ייחשבו אלו המוגדרים בחוק ובתקנות וכן </w:t>
            </w:r>
            <w:r w:rsidRPr="000E466D">
              <w:rPr>
                <w:rFonts w:eastAsia="Times New Roman" w:cs="David" w:hint="cs"/>
                <w:b/>
                <w:bCs/>
                <w:rtl/>
              </w:rPr>
              <w:t>עירייה</w:t>
            </w:r>
            <w:r w:rsidRPr="000E466D">
              <w:rPr>
                <w:rFonts w:eastAsia="Times New Roman" w:cs="David" w:hint="cs"/>
                <w:rtl/>
              </w:rPr>
              <w:t xml:space="preserve">, מועצה אזורית ומועצה מקומית.  </w:t>
            </w:r>
          </w:p>
        </w:tc>
      </w:tr>
      <w:tr w:rsidR="000E466D" w:rsidRPr="000E466D" w:rsidTr="000E466D">
        <w:trPr>
          <w:trHeight w:val="280"/>
        </w:trPr>
        <w:tc>
          <w:tcPr>
            <w:tcW w:w="715" w:type="dxa"/>
          </w:tcPr>
          <w:p w:rsidR="000E466D" w:rsidRPr="000E466D" w:rsidRDefault="000E466D">
            <w:pPr>
              <w:pStyle w:val="1"/>
              <w:tabs>
                <w:tab w:val="clear" w:pos="360"/>
                <w:tab w:val="left" w:pos="720"/>
              </w:tabs>
              <w:spacing w:line="360" w:lineRule="auto"/>
              <w:ind w:right="0"/>
              <w:rPr>
                <w:rFonts w:eastAsia="Times New Roman"/>
              </w:rPr>
            </w:pPr>
            <w:r w:rsidRPr="000E466D">
              <w:rPr>
                <w:rFonts w:eastAsia="Times New Roman" w:cs="David" w:hint="cs"/>
                <w:rtl/>
              </w:rPr>
              <w:t>2.</w:t>
            </w:r>
          </w:p>
        </w:tc>
        <w:tc>
          <w:tcPr>
            <w:tcW w:w="1553" w:type="dxa"/>
          </w:tcPr>
          <w:p w:rsidR="000E466D" w:rsidRPr="000E466D" w:rsidRDefault="000E466D" w:rsidP="000E466D">
            <w:pPr>
              <w:pStyle w:val="1"/>
              <w:tabs>
                <w:tab w:val="clear" w:pos="360"/>
                <w:tab w:val="left" w:pos="720"/>
              </w:tabs>
              <w:spacing w:line="360" w:lineRule="auto"/>
              <w:ind w:right="0"/>
              <w:rPr>
                <w:rFonts w:eastAsia="Times New Roman"/>
              </w:rPr>
            </w:pPr>
            <w:r w:rsidRPr="000E466D">
              <w:rPr>
                <w:rFonts w:eastAsia="Times New Roman" w:cs="David" w:hint="cs"/>
                <w:rtl/>
              </w:rPr>
              <w:t>סעיף</w:t>
            </w:r>
            <w:r>
              <w:rPr>
                <w:rFonts w:eastAsia="Times New Roman" w:cs="David" w:hint="cs"/>
                <w:rtl/>
              </w:rPr>
              <w:t xml:space="preserve"> </w:t>
            </w:r>
            <w:r w:rsidRPr="000E466D">
              <w:rPr>
                <w:rFonts w:eastAsia="Times New Roman" w:cs="David" w:hint="cs"/>
                <w:rtl/>
              </w:rPr>
              <w:t>4.4.3(4) למכרז+</w:t>
            </w:r>
            <w:bookmarkStart w:id="0" w:name="_GoBack"/>
            <w:bookmarkEnd w:id="0"/>
            <w:r w:rsidRPr="000E466D">
              <w:rPr>
                <w:rFonts w:eastAsia="Times New Roman" w:cs="David" w:hint="cs"/>
                <w:rtl/>
              </w:rPr>
              <w:t xml:space="preserve">נספח מס' 15 </w:t>
            </w:r>
          </w:p>
        </w:tc>
        <w:tc>
          <w:tcPr>
            <w:tcW w:w="3686" w:type="dxa"/>
          </w:tcPr>
          <w:p w:rsidR="000E466D" w:rsidRPr="000E466D" w:rsidRDefault="000E466D">
            <w:pPr>
              <w:pStyle w:val="1"/>
              <w:tabs>
                <w:tab w:val="clear" w:pos="360"/>
                <w:tab w:val="left" w:pos="720"/>
              </w:tabs>
              <w:spacing w:line="360" w:lineRule="auto"/>
              <w:ind w:right="0"/>
              <w:rPr>
                <w:rFonts w:eastAsia="Times New Roman"/>
              </w:rPr>
            </w:pPr>
            <w:r w:rsidRPr="000E466D">
              <w:rPr>
                <w:rFonts w:eastAsia="Times New Roman" w:cs="David" w:hint="cs"/>
                <w:rtl/>
              </w:rPr>
              <w:t xml:space="preserve">בסעיף 4.4.3(4) למכרז נאמר: "המציע יצרף להצעתו שלוש חוות-דעת/ </w:t>
            </w:r>
            <w:r w:rsidRPr="000E466D">
              <w:rPr>
                <w:rFonts w:eastAsia="Times New Roman" w:cs="David" w:hint="cs"/>
                <w:b/>
                <w:bCs/>
                <w:rtl/>
              </w:rPr>
              <w:t>התנגדויות וכד' בהקשר חוק התכנון והבניה"</w:t>
            </w:r>
            <w:r w:rsidRPr="000E466D">
              <w:rPr>
                <w:rFonts w:eastAsia="Times New Roman" w:cs="David" w:hint="cs"/>
                <w:rtl/>
              </w:rPr>
              <w:t xml:space="preserve">. לעומת זאת, בנספח 15 סעיף 5 נאמר: "הצגת </w:t>
            </w:r>
            <w:r w:rsidRPr="000E466D">
              <w:rPr>
                <w:rFonts w:eastAsia="Times New Roman" w:cs="David" w:hint="cs"/>
                <w:b/>
                <w:bCs/>
                <w:rtl/>
              </w:rPr>
              <w:t>חוות-דעת</w:t>
            </w:r>
            <w:r w:rsidRPr="000E466D">
              <w:rPr>
                <w:rFonts w:eastAsia="Times New Roman" w:cs="David" w:hint="cs"/>
                <w:rtl/>
              </w:rPr>
              <w:t xml:space="preserve">: המציע יצרף להצעתו שלוש </w:t>
            </w:r>
            <w:r w:rsidRPr="000E466D">
              <w:rPr>
                <w:rFonts w:eastAsia="Times New Roman" w:cs="David" w:hint="cs"/>
                <w:b/>
                <w:bCs/>
                <w:rtl/>
              </w:rPr>
              <w:t xml:space="preserve">חוות-דעת </w:t>
            </w:r>
            <w:r w:rsidRPr="000E466D">
              <w:rPr>
                <w:rFonts w:eastAsia="Times New Roman" w:cs="David" w:hint="cs"/>
                <w:rtl/>
              </w:rPr>
              <w:t>משפטיות בהקשר חוק התכנון והבניה..." (ללא התוספת של "/התנגדויות וכד' "). אבקשכם לתקן את נספח 15 כך שיתאים לנוסח של סעיף 4.4.3(4) למכרז  ויכלול גם התנגדויות ו/או כתבי טענות בתחום התכנון והבניה.</w:t>
            </w:r>
          </w:p>
        </w:tc>
        <w:tc>
          <w:tcPr>
            <w:tcW w:w="3827" w:type="dxa"/>
          </w:tcPr>
          <w:p w:rsidR="000E466D" w:rsidRPr="000E466D" w:rsidRDefault="000E466D">
            <w:pPr>
              <w:pStyle w:val="1"/>
              <w:tabs>
                <w:tab w:val="clear" w:pos="360"/>
                <w:tab w:val="left" w:pos="720"/>
              </w:tabs>
              <w:spacing w:line="360" w:lineRule="auto"/>
              <w:ind w:right="0"/>
              <w:rPr>
                <w:rFonts w:eastAsia="Times New Roman"/>
              </w:rPr>
            </w:pPr>
            <w:r w:rsidRPr="000E466D">
              <w:rPr>
                <w:rFonts w:eastAsia="Times New Roman" w:cs="David" w:hint="cs"/>
                <w:b/>
                <w:bCs/>
                <w:rtl/>
              </w:rPr>
              <w:t>הדרישה מתקבלת.</w:t>
            </w:r>
            <w:r w:rsidRPr="000E466D">
              <w:rPr>
                <w:rFonts w:eastAsia="Times New Roman" w:cs="David" w:hint="cs"/>
                <w:rtl/>
              </w:rPr>
              <w:t xml:space="preserve"> בנפסח 15 הכוונה גם להגשת מסמכים אחרים דוגמת התנגדויות ו/או כתבי טענות. </w:t>
            </w:r>
          </w:p>
        </w:tc>
      </w:tr>
    </w:tbl>
    <w:p w:rsidR="000E466D" w:rsidRPr="000E466D" w:rsidRDefault="000E466D" w:rsidP="000E466D">
      <w:pPr>
        <w:bidi/>
        <w:rPr>
          <w:rFonts w:cs="David"/>
          <w:sz w:val="28"/>
          <w:szCs w:val="28"/>
          <w:rtl/>
        </w:rPr>
      </w:pPr>
    </w:p>
    <w:p w:rsidR="000E466D" w:rsidRPr="000E466D" w:rsidRDefault="000E466D" w:rsidP="000E466D">
      <w:pPr>
        <w:bidi/>
        <w:rPr>
          <w:rFonts w:cs="David" w:hint="cs"/>
          <w:sz w:val="28"/>
          <w:szCs w:val="28"/>
          <w:rtl/>
        </w:rPr>
      </w:pPr>
    </w:p>
    <w:p w:rsidR="000E466D" w:rsidRPr="000E466D" w:rsidRDefault="000E466D" w:rsidP="000E466D">
      <w:pPr>
        <w:bidi/>
        <w:rPr>
          <w:rFonts w:cs="David"/>
          <w:sz w:val="28"/>
          <w:szCs w:val="28"/>
          <w:rtl/>
        </w:rPr>
      </w:pPr>
    </w:p>
    <w:p w:rsidR="000E466D" w:rsidRPr="000E466D" w:rsidRDefault="000E466D" w:rsidP="000E466D">
      <w:pPr>
        <w:bidi/>
        <w:rPr>
          <w:rFonts w:cs="David"/>
          <w:rtl/>
        </w:rPr>
      </w:pPr>
    </w:p>
    <w:p w:rsidR="00157B5E" w:rsidRPr="000E466D" w:rsidRDefault="00157B5E" w:rsidP="000E466D">
      <w:pPr>
        <w:bidi/>
        <w:rPr>
          <w:rFonts w:cs="David"/>
          <w:rtl/>
        </w:rPr>
      </w:pPr>
    </w:p>
    <w:sectPr w:rsidR="00157B5E" w:rsidRPr="000E466D" w:rsidSect="007F2135">
      <w:headerReference w:type="default" r:id="rId8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9FC" w:rsidRDefault="000459FC" w:rsidP="00A45D98">
      <w:r>
        <w:separator/>
      </w:r>
    </w:p>
  </w:endnote>
  <w:endnote w:type="continuationSeparator" w:id="0">
    <w:p w:rsidR="000459FC" w:rsidRDefault="000459FC" w:rsidP="00A45D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9FC" w:rsidRDefault="000459FC" w:rsidP="00A45D98">
      <w:r>
        <w:separator/>
      </w:r>
    </w:p>
  </w:footnote>
  <w:footnote w:type="continuationSeparator" w:id="0">
    <w:p w:rsidR="000459FC" w:rsidRDefault="000459FC" w:rsidP="00A45D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466D" w:rsidRPr="002F2C4A" w:rsidRDefault="000E466D" w:rsidP="000E466D">
    <w:pPr>
      <w:tabs>
        <w:tab w:val="center" w:pos="4153"/>
        <w:tab w:val="right" w:pos="8306"/>
      </w:tabs>
      <w:bidi/>
      <w:rPr>
        <w:rFonts w:ascii="Calibri" w:eastAsia="Calibri" w:hAnsi="Calibri" w:cs="Arial"/>
        <w:sz w:val="22"/>
        <w:szCs w:val="22"/>
        <w:rtl/>
      </w:rPr>
    </w:pPr>
    <w:r w:rsidRPr="002F2C4A">
      <w:rPr>
        <w:rFonts w:ascii="Calibri" w:eastAsia="Calibri" w:hAnsi="Calibri" w:cs="Arial" w:hint="cs"/>
        <w:b/>
        <w:bCs/>
        <w:sz w:val="22"/>
        <w:szCs w:val="22"/>
        <w:u w:val="single"/>
        <w:rtl/>
      </w:rPr>
      <w:t>תשובות לשאלות הבהרה</w:t>
    </w:r>
    <w:r w:rsidRPr="002F2C4A">
      <w:rPr>
        <w:rFonts w:ascii="Calibri" w:eastAsia="Calibri" w:hAnsi="Calibri" w:cs="Arial" w:hint="cs"/>
        <w:sz w:val="22"/>
        <w:szCs w:val="22"/>
        <w:rtl/>
      </w:rPr>
      <w:t xml:space="preserve"> - מכרז מס'  </w:t>
    </w:r>
    <w:r w:rsidRPr="002F2C4A">
      <w:rPr>
        <w:rFonts w:ascii="Calibri" w:eastAsia="Calibri" w:hAnsi="Calibri" w:cs="Arial" w:hint="cs"/>
        <w:b/>
        <w:bCs/>
        <w:sz w:val="22"/>
        <w:szCs w:val="22"/>
        <w:rtl/>
      </w:rPr>
      <w:t xml:space="preserve">82/2016 </w:t>
    </w:r>
  </w:p>
  <w:p w:rsidR="000E466D" w:rsidRDefault="000E466D" w:rsidP="000E466D">
    <w:pPr>
      <w:pStyle w:val="a5"/>
      <w:jc w:val="right"/>
    </w:pPr>
    <w:r w:rsidRPr="002F2C4A">
      <w:rPr>
        <w:rFonts w:ascii="Calibri" w:eastAsia="Calibri" w:hAnsi="Calibri" w:cs="Arial" w:hint="cs"/>
        <w:sz w:val="22"/>
        <w:szCs w:val="22"/>
        <w:rtl/>
      </w:rPr>
      <w:t>מתן</w:t>
    </w:r>
    <w:r w:rsidRPr="002F2C4A">
      <w:rPr>
        <w:rFonts w:ascii="Calibri" w:eastAsia="Calibri" w:hAnsi="Calibri" w:cs="Arial"/>
        <w:sz w:val="22"/>
        <w:szCs w:val="22"/>
        <w:rtl/>
      </w:rPr>
      <w:t xml:space="preserve"> </w:t>
    </w:r>
    <w:r w:rsidRPr="002F2C4A">
      <w:rPr>
        <w:rFonts w:ascii="Calibri" w:eastAsia="Calibri" w:hAnsi="Calibri" w:cs="Arial" w:hint="cs"/>
        <w:sz w:val="22"/>
        <w:szCs w:val="22"/>
        <w:rtl/>
      </w:rPr>
      <w:t>שירותי</w:t>
    </w:r>
    <w:r w:rsidRPr="002F2C4A">
      <w:rPr>
        <w:rFonts w:ascii="Calibri" w:eastAsia="Calibri" w:hAnsi="Calibri" w:cs="Arial"/>
        <w:sz w:val="22"/>
        <w:szCs w:val="22"/>
        <w:rtl/>
      </w:rPr>
      <w:t xml:space="preserve"> </w:t>
    </w:r>
    <w:r w:rsidRPr="002F2C4A">
      <w:rPr>
        <w:rFonts w:ascii="Calibri" w:eastAsia="Calibri" w:hAnsi="Calibri" w:cs="Arial" w:hint="cs"/>
        <w:sz w:val="22"/>
        <w:szCs w:val="22"/>
        <w:rtl/>
      </w:rPr>
      <w:t>יעוץ</w:t>
    </w:r>
    <w:r w:rsidRPr="002F2C4A">
      <w:rPr>
        <w:rFonts w:ascii="Calibri" w:eastAsia="Calibri" w:hAnsi="Calibri" w:cs="Arial"/>
        <w:sz w:val="22"/>
        <w:szCs w:val="22"/>
        <w:rtl/>
      </w:rPr>
      <w:t xml:space="preserve"> </w:t>
    </w:r>
    <w:r w:rsidRPr="002F2C4A">
      <w:rPr>
        <w:rFonts w:ascii="Calibri" w:eastAsia="Calibri" w:hAnsi="Calibri" w:cs="Arial" w:hint="cs"/>
        <w:sz w:val="22"/>
        <w:szCs w:val="22"/>
        <w:rtl/>
      </w:rPr>
      <w:t>משפטי</w:t>
    </w:r>
    <w:r w:rsidRPr="002F2C4A">
      <w:rPr>
        <w:rFonts w:ascii="Calibri" w:eastAsia="Calibri" w:hAnsi="Calibri" w:cs="Arial"/>
        <w:sz w:val="22"/>
        <w:szCs w:val="22"/>
        <w:rtl/>
      </w:rPr>
      <w:t xml:space="preserve"> </w:t>
    </w:r>
    <w:r w:rsidRPr="002F2C4A">
      <w:rPr>
        <w:rFonts w:ascii="Calibri" w:eastAsia="Calibri" w:hAnsi="Calibri" w:cs="Arial" w:hint="cs"/>
        <w:sz w:val="22"/>
        <w:szCs w:val="22"/>
        <w:rtl/>
      </w:rPr>
      <w:t>בתחומי</w:t>
    </w:r>
    <w:r w:rsidRPr="002F2C4A">
      <w:rPr>
        <w:rFonts w:ascii="Calibri" w:eastAsia="Calibri" w:hAnsi="Calibri" w:cs="Arial"/>
        <w:sz w:val="22"/>
        <w:szCs w:val="22"/>
        <w:rtl/>
      </w:rPr>
      <w:t xml:space="preserve"> </w:t>
    </w:r>
    <w:r w:rsidRPr="002F2C4A">
      <w:rPr>
        <w:rFonts w:ascii="Calibri" w:eastAsia="Calibri" w:hAnsi="Calibri" w:cs="Arial" w:hint="cs"/>
        <w:sz w:val="22"/>
        <w:szCs w:val="22"/>
        <w:rtl/>
      </w:rPr>
      <w:t>התכנון</w:t>
    </w:r>
    <w:r w:rsidRPr="002F2C4A">
      <w:rPr>
        <w:rFonts w:ascii="Calibri" w:eastAsia="Calibri" w:hAnsi="Calibri" w:cs="Arial"/>
        <w:sz w:val="22"/>
        <w:szCs w:val="22"/>
        <w:rtl/>
      </w:rPr>
      <w:t xml:space="preserve"> </w:t>
    </w:r>
    <w:r w:rsidRPr="002F2C4A">
      <w:rPr>
        <w:rFonts w:ascii="Calibri" w:eastAsia="Calibri" w:hAnsi="Calibri" w:cs="Arial" w:hint="cs"/>
        <w:sz w:val="22"/>
        <w:szCs w:val="22"/>
        <w:rtl/>
      </w:rPr>
      <w:t>והבניה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48421F"/>
    <w:multiLevelType w:val="hybridMultilevel"/>
    <w:tmpl w:val="F13C2024"/>
    <w:lvl w:ilvl="0" w:tplc="28468DCA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B8B0F66"/>
    <w:multiLevelType w:val="hybridMultilevel"/>
    <w:tmpl w:val="A762DCDE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5D7D7B"/>
    <w:multiLevelType w:val="hybridMultilevel"/>
    <w:tmpl w:val="3B1CFE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CC5806"/>
    <w:multiLevelType w:val="hybridMultilevel"/>
    <w:tmpl w:val="CDBE6D54"/>
    <w:lvl w:ilvl="0" w:tplc="BC22D7D4">
      <w:start w:val="1"/>
      <w:numFmt w:val="decimal"/>
      <w:lvlText w:val="%1."/>
      <w:lvlJc w:val="left"/>
      <w:pPr>
        <w:ind w:left="144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025"/>
    <w:rsid w:val="000459FC"/>
    <w:rsid w:val="000E466D"/>
    <w:rsid w:val="00157B5E"/>
    <w:rsid w:val="0020309C"/>
    <w:rsid w:val="002F2C4A"/>
    <w:rsid w:val="00365F02"/>
    <w:rsid w:val="004104BD"/>
    <w:rsid w:val="00477427"/>
    <w:rsid w:val="00527D87"/>
    <w:rsid w:val="00744E77"/>
    <w:rsid w:val="00775703"/>
    <w:rsid w:val="007F2135"/>
    <w:rsid w:val="008C60F0"/>
    <w:rsid w:val="00947025"/>
    <w:rsid w:val="00A25214"/>
    <w:rsid w:val="00A45D98"/>
    <w:rsid w:val="00C3464D"/>
    <w:rsid w:val="00C97CBF"/>
    <w:rsid w:val="00E65C79"/>
    <w:rsid w:val="00E8543C"/>
    <w:rsid w:val="00EA2046"/>
    <w:rsid w:val="00EE3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F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0E466D"/>
    <w:pPr>
      <w:tabs>
        <w:tab w:val="num" w:pos="360"/>
      </w:tabs>
      <w:bidi/>
      <w:spacing w:before="200" w:after="40" w:line="300" w:lineRule="atLeast"/>
      <w:ind w:right="567"/>
      <w:jc w:val="both"/>
      <w:outlineLvl w:val="0"/>
    </w:pPr>
    <w:rPr>
      <w:rFonts w:eastAsiaTheme="minorHAnsi"/>
      <w:kern w:val="36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702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4">
    <w:name w:val="Table Grid"/>
    <w:basedOn w:val="a1"/>
    <w:uiPriority w:val="59"/>
    <w:rsid w:val="002030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45D98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45D98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A45D98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45D98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0E466D"/>
    <w:rPr>
      <w:rFonts w:ascii="Times New Roman" w:hAnsi="Times New Roman" w:cs="Times New Roman"/>
      <w:kern w:val="3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F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0E466D"/>
    <w:pPr>
      <w:tabs>
        <w:tab w:val="num" w:pos="360"/>
      </w:tabs>
      <w:bidi/>
      <w:spacing w:before="200" w:after="40" w:line="300" w:lineRule="atLeast"/>
      <w:ind w:right="567"/>
      <w:jc w:val="both"/>
      <w:outlineLvl w:val="0"/>
    </w:pPr>
    <w:rPr>
      <w:rFonts w:eastAsiaTheme="minorHAnsi"/>
      <w:kern w:val="36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4702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4">
    <w:name w:val="Table Grid"/>
    <w:basedOn w:val="a1"/>
    <w:uiPriority w:val="59"/>
    <w:rsid w:val="002030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A45D98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45D98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footer"/>
    <w:basedOn w:val="a"/>
    <w:link w:val="a8"/>
    <w:uiPriority w:val="99"/>
    <w:unhideWhenUsed/>
    <w:rsid w:val="00A45D98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45D98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0E466D"/>
    <w:rPr>
      <w:rFonts w:ascii="Times New Roman" w:hAnsi="Times New Roman" w:cs="Times New Roman"/>
      <w:kern w:val="3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5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1140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Gili Assaf</dc:creator>
  <cp:lastModifiedBy>אורנה מריקלר קוסובסקי[Orna Kosowsky]</cp:lastModifiedBy>
  <cp:revision>2</cp:revision>
  <cp:lastPrinted>2016-02-09T10:26:00Z</cp:lastPrinted>
  <dcterms:created xsi:type="dcterms:W3CDTF">2017-01-08T15:53:00Z</dcterms:created>
  <dcterms:modified xsi:type="dcterms:W3CDTF">2017-01-08T15:53:00Z</dcterms:modified>
</cp:coreProperties>
</file>